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Making Equivalent fractions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In order to make equivalent number, we have to multiply both the numerator and the denominator by the same number. 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we get the following fractions when we keep on dividing both the numerator and the denominator by the number 2.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143125" cy="628650"/>
            <wp:effectExtent l="19050" t="0" r="9525" b="0"/>
            <wp:docPr id="21" name="Picture 21" descr="https://www.examfear.com/u-img/00/00/56/0000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xamfear.com/u-img/00/00/56/000056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These fractions are equivalent since all of them can be reduced to the simplest fraction -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  ½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Equivalent fraction can also be made by </w:t>
      </w: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dividing</w:t>
      </w:r>
      <w:r>
        <w:rPr>
          <w:rFonts w:ascii="Arial" w:hAnsi="Arial" w:cs="Arial"/>
          <w:color w:val="000000"/>
          <w:sz w:val="30"/>
          <w:szCs w:val="30"/>
        </w:rPr>
        <w:t> both the numerator and the denominator by the same number.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 is important to note that the number by which we divide has to be such that the number divides both the numerator and the denominator perfectly.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Therefore, we can first find the HCF of the numerator and the denominator then divide them by the HCF.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523875"/>
            <wp:effectExtent l="19050" t="0" r="0" b="0"/>
            <wp:docPr id="22" name="Picture 22" descr="https://www.examfear.com/u-img/00/00/56/0000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examfear.com/u-img/00/00/56/000056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These fractions are equivalent since all of them can be reduced to the simplest fraction-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  ½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 is to be remembered that a fraction is said to be in the </w:t>
      </w: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simplest (or lowest)</w:t>
      </w:r>
      <w:r>
        <w:rPr>
          <w:rFonts w:ascii="Arial" w:hAnsi="Arial" w:cs="Arial"/>
          <w:color w:val="000000"/>
          <w:sz w:val="30"/>
          <w:szCs w:val="30"/>
        </w:rPr>
        <w:t xml:space="preserve"> form if its numerator and denominator have no common factor except 1.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For e.g. ½.</w:t>
      </w:r>
      <w:proofErr w:type="gramEnd"/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>
        <w:rPr>
          <w:rFonts w:ascii="Arial" w:hAnsi="Arial" w:cs="Arial"/>
          <w:color w:val="000000"/>
          <w:sz w:val="30"/>
          <w:szCs w:val="30"/>
        </w:rPr>
        <w:t xml:space="preserve">: Write the fractions. Are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all these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fractions equivalent?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4762500" cy="1657350"/>
            <wp:effectExtent l="19050" t="0" r="0" b="0"/>
            <wp:docPr id="23" name="Picture 23" descr="https://www.examfear.com/u-img/00/00/56/000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xamfear.com/u-img/00/00/56/000056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Solution: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1/2 = 2/4 = 3/6 = 4/8 = ½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All these fractions are equivalent since all these fractions can be reduced to the simplest fraction of the value ½.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>
        <w:rPr>
          <w:rFonts w:ascii="Arial" w:hAnsi="Arial" w:cs="Arial"/>
          <w:color w:val="000000"/>
          <w:sz w:val="30"/>
          <w:szCs w:val="30"/>
        </w:rPr>
        <w:t xml:space="preserve">:  Find the equivalent fraction of 36/48 with   a)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numerator  9</w:t>
      </w:r>
      <w:proofErr w:type="gramEnd"/>
      <w:r>
        <w:rPr>
          <w:rFonts w:ascii="Arial" w:hAnsi="Arial" w:cs="Arial"/>
          <w:color w:val="000000"/>
          <w:sz w:val="30"/>
          <w:szCs w:val="30"/>
        </w:rPr>
        <w:t>  b) denominator 4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Numerator of the value 9 can be obtained by dividing both the numerator and the denominator by 4 since the numerator, 36/4 =9.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36/4 </w:t>
      </w:r>
      <w:r>
        <w:rPr>
          <w:rFonts w:ascii="Arial" w:hAnsi="Arial" w:cs="Arial"/>
          <w:color w:val="000000"/>
          <w:sz w:val="30"/>
          <w:szCs w:val="30"/>
        </w:rPr>
        <w:t>      =     9/12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48/4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Denominator of the value 4 can be obtained by dividing both the numerator and the denominator by 12 since the denominator,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48/12 = 4.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 = </w:t>
      </w: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36/12 </w:t>
      </w:r>
      <w:r>
        <w:rPr>
          <w:rFonts w:ascii="Arial" w:hAnsi="Arial" w:cs="Arial"/>
          <w:color w:val="000000"/>
          <w:sz w:val="30"/>
          <w:szCs w:val="30"/>
        </w:rPr>
        <w:t>  =      3/4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           48/12</w:t>
      </w:r>
    </w:p>
    <w:p w:rsidR="006365A0" w:rsidRDefault="006365A0" w:rsidP="006365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257FA6" w:rsidRPr="00227E8E" w:rsidRDefault="00257FA6" w:rsidP="00636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720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Deftones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2019-11-07T08:19:00Z</dcterms:created>
  <dcterms:modified xsi:type="dcterms:W3CDTF">2019-11-07T08:19:00Z</dcterms:modified>
</cp:coreProperties>
</file>